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6040-0/2025-237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F845E4">
        <w:t>18</w:t>
      </w:r>
      <w:bookmarkStart w:id="0" w:name="_GoBack"/>
      <w:bookmarkEnd w:id="0"/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Vinogradnik/vinogradnica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6210.011.4.1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845E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</w:t>
      </w:r>
      <w:r>
        <w:rPr>
          <w:rFonts w:ascii="Times New Roman" w:eastAsia="Times New Roman" w:hAnsi="Times New Roman" w:cs="Times New Roman"/>
          <w:sz w:val="20"/>
        </w:rPr>
        <w:t xml:space="preserve"> člane komisij: visokošolska znanja s področja kmetijstva, smer sadjarstvo, vinogradništvo in</w:t>
      </w:r>
    </w:p>
    <w:p w:rsidR="0032100C" w:rsidRDefault="00F845E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10 mest za kandidate za člane komisij: srednja ali višja strokovna znanja s področja kmetijstva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Vinogradnik/vinogradnica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6210.011.4.1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Vinogradnik/vinogradnica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6210.011.4.1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845E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7395"/>
    <w:multiLevelType w:val="multilevel"/>
    <w:tmpl w:val="D080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2100C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845E4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A66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0-01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0-01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0-01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31047-5FD6-4276-93A6-7E28A902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2025-01-31T14:23:00Z</dcterms:created>
  <dcterms:modified xsi:type="dcterms:W3CDTF">2025-01-31T14:23:00Z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